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简体" w:cs="Times New Roman"/>
          <w:sz w:val="32"/>
          <w:szCs w:val="32"/>
          <w:lang w:eastAsia="zh-CN"/>
        </w:rPr>
      </w:pPr>
      <w:bookmarkStart w:id="0" w:name="_GoBack"/>
      <w:r>
        <w:rPr>
          <w:rFonts w:hint="default" w:ascii="Times New Roman" w:hAnsi="Times New Roman" w:eastAsia="方正小标宋简体" w:cs="Times New Roman"/>
          <w:sz w:val="32"/>
          <w:szCs w:val="32"/>
        </w:rPr>
        <w:t>长三角生态绿色一体化发展示范区水乡客厅国土空间详细规划</w:t>
      </w:r>
      <w:r>
        <w:rPr>
          <w:rFonts w:hint="default" w:ascii="Times New Roman" w:hAnsi="Times New Roman" w:eastAsia="方正小标宋简体" w:cs="Times New Roman"/>
          <w:sz w:val="32"/>
          <w:szCs w:val="32"/>
          <w:lang w:eastAsia="zh-CN"/>
        </w:rPr>
        <w:t>（</w:t>
      </w:r>
      <w:r>
        <w:rPr>
          <w:rFonts w:hint="default" w:ascii="Times New Roman" w:hAnsi="Times New Roman" w:eastAsia="方正小标宋简体" w:cs="Times New Roman"/>
          <w:sz w:val="32"/>
          <w:szCs w:val="32"/>
        </w:rPr>
        <w:t>上海部分</w:t>
      </w:r>
      <w:r>
        <w:rPr>
          <w:rFonts w:hint="default" w:ascii="Times New Roman" w:hAnsi="Times New Roman" w:eastAsia="方正小标宋简体" w:cs="Times New Roman"/>
          <w:sz w:val="32"/>
          <w:szCs w:val="32"/>
          <w:lang w:eastAsia="zh-CN"/>
        </w:rPr>
        <w:t>）</w:t>
      </w:r>
    </w:p>
    <w:p>
      <w:pPr>
        <w:rPr>
          <w:rFonts w:hint="default" w:ascii="Times New Roman" w:hAnsi="Times New Roman" w:eastAsia="仿宋_GB2312" w:cs="Times New Roman"/>
          <w:b/>
          <w:bCs/>
          <w:sz w:val="32"/>
          <w:szCs w:val="32"/>
          <w:lang w:val="en-US" w:eastAsia="zh-CN"/>
        </w:rPr>
      </w:pPr>
    </w:p>
    <w:p>
      <w:pPr>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lang w:val="en-US" w:eastAsia="zh-CN"/>
        </w:rPr>
        <w:t xml:space="preserve">规划范围 </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以长三角原点为中心，涉及上海市青浦区金泽镇域西南部分，北至沪渝高速，西、南抵省界，东达金商公路，总面积约11.77平方公里。 </w:t>
      </w:r>
    </w:p>
    <w:p>
      <w:pPr>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lang w:val="en-US" w:eastAsia="zh-CN"/>
        </w:rPr>
        <w:t xml:space="preserve">功能定位 </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长三角一体化建设成就可见可现的集中展示区，集中实践和示范城水共生、活力共襄、区域共享的发展理念，与江浙两地合力打造的体现东方意境、容纳和谐生境、提供游憩佳境、共聚创新环境的“江南庭院、水乡客厅”。 </w:t>
      </w:r>
    </w:p>
    <w:p>
      <w:pPr>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lang w:val="en-US" w:eastAsia="zh-CN"/>
        </w:rPr>
        <w:t>建设目标</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到2035年，全面建成示范产居、人文、生态一体化发展的世界级水乡客厅，城镇功能完善齐全，基础设施完备高效，创新服务产业发展成效显著，引领示范区发展作用明显，建设成为跨行政区高质量一体化发展的示范窗口与核心承载地。 </w:t>
      </w:r>
    </w:p>
    <w:p>
      <w:pPr>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 xml:space="preserve">功能布局 </w:t>
      </w:r>
    </w:p>
    <w:p>
      <w:pP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以长三角原点为中心，在水乡客厅上海范围内形成“一点、一心、一园、一区、三道、五村”的功能布局。“一点”寓一体发展，充分挖掘长三角原点的独特内涵，围绕该地理标志与江浙合力打造一处可感知、可体验、可激发一体化认同的标志性场所。“一心”观江南意象，临近长三角原点打造创智引擎，作为创智策源，在圩田与河荡水乡地景中，依托青浦先进信息技术产业集群和金泽古镇打造高端创智和文旅功能集聚的组团。布置国际峰会、高端会议、创智研发、文化创意、文旅服务、商务活动、水陆枢纽、人才公寓等功能。“一园”显水乡基因，以湖荡圩田为底，将现代绿色生态理念和技术与历史悠久的传统理水治水智慧文化相融合，打造江南圩田主题展示园，运用湿地净化、水源涵养、循环农业、圩田再造等技术手段，形成有机融合的蓝绿空间和生态系统，打造世界级湖区的特色景观。“一区”集创新聚落，依托金泽功能区，打造以通信研发、文化创意为特色产业的研创古镇。发展模式以研、学、游高度融合，结合小镇肌理，促进文化交流，建立长三角大学联盟，开展教育培训和技术研究，促进创新技术转移合作。“三道”链水乡风景，通过蓝道、绿道、风景道等水陆交通组织，串联自然地理和人文风景，形成新时代人与自然和谐共生的水乡空间景观。“五村”促乡村振兴，通过功能提升、风貌整治、局部更新等策略，打造1个科普村、2个创新村、2个文旅村，盘活并优化村庄建设用地，营造三生融合的水乡村落。</w:t>
      </w:r>
    </w:p>
    <w:p>
      <w:pPr>
        <w:rPr>
          <w:rFonts w:hint="default" w:ascii="Times New Roman" w:hAnsi="Times New Roman" w:eastAsia="仿宋_GB2312" w:cs="Times New Roman"/>
          <w:sz w:val="32"/>
          <w:szCs w:val="32"/>
          <w:lang w:val="en-US" w:eastAsia="zh-CN"/>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5NWJmYTgwYmI5MjQ1YzMxMzJhZDU1ZTlhZTcyMDUifQ=="/>
  </w:docVars>
  <w:rsids>
    <w:rsidRoot w:val="31463E35"/>
    <w:rsid w:val="31463E35"/>
    <w:rsid w:val="614D45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2023-10-30T03:03:00Z</dcterms:created>
  <dc:creator>yanlili</dc:creator>
  <cp:lastModifiedBy>yanlili</cp:lastModifiedBy>
  <dcterms:modified xsi:type="dcterms:W3CDTF">2023-10-30T03:09:46Z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512A6AD8362E43AF951D2BE862DE55AE_11</vt:lpwstr>
  </property>
</Properties>
</file>